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вул. Грозненська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364FB1" w:rsidRPr="00364FB1">
        <w:rPr>
          <w:rFonts w:ascii="Times New Roman" w:eastAsia="Times New Roman" w:hAnsi="Times New Roman"/>
          <w:sz w:val="28"/>
          <w:szCs w:val="28"/>
          <w:lang w:eastAsia="ru-RU"/>
        </w:rPr>
        <w:t>UA-2021-04-28-002395-c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364FB1">
        <w:rPr>
          <w:rFonts w:ascii="Times New Roman" w:hAnsi="Times New Roman"/>
          <w:sz w:val="28"/>
          <w:szCs w:val="28"/>
        </w:rPr>
        <w:t>24</w:t>
      </w:r>
      <w:bookmarkStart w:id="1" w:name="_GoBack"/>
      <w:bookmarkEnd w:id="1"/>
      <w:r w:rsidR="00642D9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A200A7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4FB1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B625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30</cp:revision>
  <cp:lastPrinted>2021-03-22T13:14:00Z</cp:lastPrinted>
  <dcterms:created xsi:type="dcterms:W3CDTF">2021-03-17T12:08:00Z</dcterms:created>
  <dcterms:modified xsi:type="dcterms:W3CDTF">2021-05-06T10:17:00Z</dcterms:modified>
</cp:coreProperties>
</file>